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26" w:rsidRDefault="00E44D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DB3726" w:rsidRDefault="00E44D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4F107A"/>
          <w:sz w:val="34"/>
          <w:szCs w:val="34"/>
        </w:rPr>
        <w:t>R.H. and Eva P. Murray Residence Scholarship</w:t>
      </w:r>
    </w:p>
    <w:p w:rsidR="00DB3726" w:rsidRDefault="00E44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</w:t>
      </w:r>
    </w:p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DB3726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 w:rsidP="00E44D10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Four scholarships of $1500 each will be awarded to residents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University, who have achieved an overall first class standing in any Laurentian degree program in courses taken in the year preceding the award, who have made a positive contribution</w:t>
            </w:r>
            <w:r>
              <w:rPr>
                <w:rFonts w:ascii="Times New Roman" w:eastAsia="Times New Roman" w:hAnsi="Times New Roman" w:cs="Times New Roman"/>
              </w:rPr>
              <w:t xml:space="preserve"> to the life of the residence during this academic year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(as described in an essay of 250 words at the time of application), </w:t>
            </w:r>
            <w:r>
              <w:rPr>
                <w:rFonts w:ascii="Times New Roman" w:eastAsia="Times New Roman" w:hAnsi="Times New Roman" w:cs="Times New Roman"/>
              </w:rPr>
              <w:t xml:space="preserve">and who are returning to residence for the next session of study at Laurentian University.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Application is required. Please complete the form below, and Submit the completed forms, along with a copy of your Laurentian Transcript and any other required documents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DB3726" w:rsidRDefault="00E44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Thorneloe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reserves the right to refuse assistance to any applicant who has knowingly made a false statement on this application. </w:t>
      </w:r>
    </w:p>
    <w:tbl>
      <w:tblPr>
        <w:tblStyle w:val="a4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DB3726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DB372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DB3726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DB3726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DB372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DB3726">
        <w:trPr>
          <w:trHeight w:val="420"/>
        </w:trPr>
        <w:tc>
          <w:tcPr>
            <w:tcW w:w="8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in the program:</w:t>
            </w:r>
          </w:p>
        </w:tc>
      </w:tr>
      <w:tr w:rsidR="00DB3726">
        <w:trPr>
          <w:trHeight w:val="133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</w:tc>
      </w:tr>
      <w:tr w:rsidR="00DB3726">
        <w:trPr>
          <w:trHeight w:val="52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DB3726">
        <w:trPr>
          <w:trHeight w:val="1309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DB3726" w:rsidRDefault="00DB3726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DB3726" w:rsidRDefault="00DB3726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3726" w:rsidRDefault="00DB3726">
      <w:pPr>
        <w:widowControl w:val="0"/>
        <w:spacing w:before="408" w:line="240" w:lineRule="auto"/>
        <w:ind w:left="3208"/>
        <w:rPr>
          <w:rFonts w:ascii="Times New Roman" w:eastAsia="Times New Roman" w:hAnsi="Times New Roman" w:cs="Times New Roman"/>
          <w:b/>
          <w:color w:val="5F6062"/>
          <w:sz w:val="25"/>
          <w:szCs w:val="25"/>
        </w:rPr>
      </w:pPr>
    </w:p>
    <w:p w:rsidR="00DB3726" w:rsidRDefault="00E44D10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5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DB3726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DB3726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DB3726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DB3726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DB3726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26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DB3726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DB3726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26">
        <w:trPr>
          <w:trHeight w:val="1591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DB3726" w:rsidRDefault="00DB3726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DB3726" w:rsidRDefault="00DB3726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DB3726" w:rsidRDefault="00DB3726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B3726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DB37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3726" w:rsidRDefault="00DB3726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6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DB3726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DB3726" w:rsidRDefault="00DB3726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7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DB3726">
        <w:trPr>
          <w:trHeight w:val="4008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DECLARATION: </w:t>
            </w:r>
          </w:p>
          <w:p w:rsidR="00DB3726" w:rsidRDefault="00E44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declare that all the information given on this application form is, to the best of my knowledge, true and complete. I understand that: </w:t>
            </w:r>
          </w:p>
          <w:p w:rsidR="00DB3726" w:rsidRDefault="00E44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All information provided in connection with this application is subject to verification by Laurentian University. 2.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iversity to release my academic standing or other pertinent information to the donor(s) of any scholarship/bursary awarded to me. </w:t>
            </w:r>
          </w:p>
          <w:p w:rsidR="00DB3726" w:rsidRDefault="00E44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reserves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right to request receipts or invoices to substantiate certain expenses or copies of any other official or legal documentation in connection with this application.</w:t>
            </w:r>
          </w:p>
        </w:tc>
      </w:tr>
    </w:tbl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8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DB3726">
        <w:trPr>
          <w:trHeight w:val="435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726" w:rsidRDefault="00E44D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DB3726" w:rsidRDefault="00DB37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DB3726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6"/>
    <w:rsid w:val="00DB3726"/>
    <w:rsid w:val="00E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78B9-B30F-4A91-921C-3B798D2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YrkDyRihXCqSNIazUnGv6Ilw==">AMUW2mUjM054nd7Ln3GaRC+j2Zvt8YQPQ0jgpo1KetocyRAVMM81mr4dTeH6XGBdjX0fB3LqEAJK4r7fixHVy7t+06ck18sE1SIMQlLk8jU/i07O5v9z+No=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2023-07-07T02:30:00Z</dcterms:created>
  <dcterms:modified xsi:type="dcterms:W3CDTF">2023-07-07T02:30:00Z</dcterms:modified>
</cp:coreProperties>
</file>